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5B112"/>
    <w:p w14:paraId="0299F76B"/>
    <w:p w14:paraId="3A6B519B">
      <w:pPr>
        <w:jc w:val="center"/>
        <w:rPr>
          <w:rFonts w:hint="eastAsia" w:ascii="等线" w:hAnsi="等线" w:eastAsia="等线" w:cstheme="minorHAnsi"/>
          <w:b/>
          <w:bCs/>
          <w:sz w:val="32"/>
          <w:szCs w:val="32"/>
          <w:lang w:val="zh-Hans" w:eastAsia="zh-CN"/>
        </w:rPr>
      </w:pPr>
      <w:r>
        <w:rPr>
          <w:rFonts w:hint="eastAsia" w:ascii="等线" w:hAnsi="等线" w:eastAsia="等线" w:cstheme="minorHAnsi"/>
          <w:b/>
          <w:bCs/>
          <w:sz w:val="32"/>
          <w:szCs w:val="32"/>
          <w:lang w:val="zh-Hans" w:eastAsia="zh-CN"/>
        </w:rPr>
        <w:t>国际行为分析组织</w:t>
      </w:r>
    </w:p>
    <w:p w14:paraId="46B74879">
      <w:pPr>
        <w:jc w:val="center"/>
        <w:rPr>
          <w:rFonts w:hint="default" w:ascii="等线" w:hAnsi="等线" w:eastAsia="等线" w:cstheme="minorHAnsi"/>
          <w:b/>
          <w:bCs/>
          <w:sz w:val="32"/>
          <w:szCs w:val="3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32"/>
          <w:szCs w:val="32"/>
          <w:lang w:val="en-US" w:eastAsia="zh-CN"/>
        </w:rPr>
        <w:t xml:space="preserve">IBA </w:t>
      </w:r>
      <w:r>
        <w:rPr>
          <w:rFonts w:ascii="等线" w:hAnsi="等线" w:eastAsia="等线" w:cstheme="minorHAnsi"/>
          <w:b/>
          <w:bCs/>
          <w:sz w:val="32"/>
          <w:szCs w:val="32"/>
          <w:lang w:eastAsia="zh-CN"/>
        </w:rPr>
        <w:t>课程</w:t>
      </w:r>
      <w:r>
        <w:rPr>
          <w:rFonts w:hint="eastAsia" w:ascii="等线" w:hAnsi="等线" w:eastAsia="等线" w:cstheme="minorHAnsi"/>
          <w:b/>
          <w:bCs/>
          <w:sz w:val="32"/>
          <w:szCs w:val="32"/>
          <w:lang w:val="en-US" w:eastAsia="zh-CN"/>
        </w:rPr>
        <w:t>提供方申请书（A-0)</w:t>
      </w:r>
    </w:p>
    <w:p w14:paraId="458D1342">
      <w:pPr>
        <w:jc w:val="center"/>
        <w:rPr>
          <w:rFonts w:hint="eastAsia" w:ascii="等线" w:hAnsi="等线" w:eastAsia="等线" w:cstheme="minorHAnsi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color w:val="FF0000"/>
          <w:sz w:val="24"/>
          <w:szCs w:val="24"/>
          <w:lang w:val="en-US" w:eastAsia="zh-CN"/>
        </w:rPr>
        <w:t>同时申请IBA与IBT课程提供方，也请使用本申请书，</w:t>
      </w:r>
    </w:p>
    <w:p w14:paraId="164703EE">
      <w:pPr>
        <w:jc w:val="center"/>
        <w:rPr>
          <w:rFonts w:hint="default" w:ascii="等线" w:hAnsi="等线" w:eastAsia="等线" w:cstheme="minorHAnsi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color w:val="FF0000"/>
          <w:sz w:val="24"/>
          <w:szCs w:val="24"/>
          <w:lang w:val="en-US" w:eastAsia="zh-CN"/>
        </w:rPr>
        <w:t>但是附件要同时附上附件T-3，T-4。</w:t>
      </w:r>
    </w:p>
    <w:p w14:paraId="28479444">
      <w:pPr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申请主体：（可以是个人、机构、公司、单位，是IBAO对口的单位）</w:t>
      </w:r>
    </w:p>
    <w:p w14:paraId="4C8CD798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名称：</w:t>
      </w:r>
    </w:p>
    <w:p w14:paraId="3F8023B7">
      <w:pPr>
        <w:numPr>
          <w:ilvl w:val="0"/>
          <w:numId w:val="0"/>
        </w:numPr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营业地址：</w:t>
      </w:r>
    </w:p>
    <w:p w14:paraId="0E85A44D">
      <w:pPr>
        <w:numPr>
          <w:ilvl w:val="0"/>
          <w:numId w:val="0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网站网址或公众号：</w:t>
      </w:r>
    </w:p>
    <w:p w14:paraId="2EDE96B4"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ACP</w:t>
      </w:r>
      <w:r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  <w:t>提供方负责人</w:t>
      </w: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相关讯息</w:t>
      </w:r>
      <w:r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  <w:t>：</w:t>
      </w: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（</w:t>
      </w:r>
      <w:r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  <w:t>负责人必须是在中文官网缴费登记的IBA</w:t>
      </w: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，并且是主要联络人）</w:t>
      </w:r>
    </w:p>
    <w:p w14:paraId="06884C1B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中英文姓名：</w:t>
      </w:r>
    </w:p>
    <w:p w14:paraId="571F1B5B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居住地：（省市）</w:t>
      </w:r>
    </w:p>
    <w:p w14:paraId="3A7B3C2D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身份证号：</w:t>
      </w:r>
    </w:p>
    <w:p w14:paraId="48F4210F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IBA证书号码：</w:t>
      </w:r>
    </w:p>
    <w:p w14:paraId="5BF5A5F5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联络email：</w:t>
      </w:r>
    </w:p>
    <w:p w14:paraId="1C61513A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联络电话：</w:t>
      </w:r>
    </w:p>
    <w:p w14:paraId="172A5405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微信号（如果有的话）：</w:t>
      </w:r>
    </w:p>
    <w:p w14:paraId="72C7E7FE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相关证明文件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（附件A-1自行整理缴交）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：请附上下列证明文件，和您申请的主体相关的部分：</w:t>
      </w:r>
    </w:p>
    <w:p w14:paraId="6751D9AB">
      <w:pPr>
        <w:widowControl w:val="0"/>
        <w:numPr>
          <w:ilvl w:val="0"/>
          <w:numId w:val="2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如果主体是公司行号、机构、社团法人、或其他非个人的组织，请附上：</w:t>
      </w:r>
    </w:p>
    <w:p w14:paraId="6524E55C">
      <w:pPr>
        <w:widowControl w:val="0"/>
        <w:numPr>
          <w:ilvl w:val="0"/>
          <w:numId w:val="3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营业执照、单位执照、各种机构的立案许可、或者任何可以证明单位存在的证明文件。</w:t>
      </w:r>
    </w:p>
    <w:p w14:paraId="54345712">
      <w:pPr>
        <w:widowControl w:val="0"/>
        <w:numPr>
          <w:ilvl w:val="0"/>
          <w:numId w:val="3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负责人对单位的关系，包括但不限于：正式雇用文件，股份持有文件，有效的代理合同（至少期限两年以上），或其他任何可以证明负责人与申请主体之间的关系的文件。</w:t>
      </w:r>
    </w:p>
    <w:p w14:paraId="68857518">
      <w:pPr>
        <w:widowControl w:val="0"/>
        <w:numPr>
          <w:ilvl w:val="0"/>
          <w:numId w:val="2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如果主体是个人，则必须是负责人本人，必须附上：</w:t>
      </w:r>
    </w:p>
    <w:p w14:paraId="006C9652">
      <w:pPr>
        <w:widowControl w:val="0"/>
        <w:numPr>
          <w:ilvl w:val="0"/>
          <w:numId w:val="4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负责人的身份证件，以下任一：所在当地的身份证，台湾同胞往来大陆通行证，港澳居民来往内地通行证，港澳台居民居住证，或者有效且附有中文姓名的护照。所有证件必须至少六个月内有效。</w:t>
      </w:r>
    </w:p>
    <w:p w14:paraId="25AD026D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讲师要求：</w:t>
      </w:r>
      <w:r>
        <w:rPr>
          <w:rFonts w:hint="eastAsia" w:ascii="等线" w:hAnsi="等线" w:eastAsia="等线" w:cstheme="minorHAnsi"/>
          <w:b w:val="0"/>
          <w:bCs w:val="0"/>
          <w:sz w:val="24"/>
          <w:szCs w:val="24"/>
          <w:lang w:val="en-US" w:eastAsia="zh-CN"/>
        </w:rPr>
        <w:t>所有除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负责人</w:t>
      </w:r>
      <w:r>
        <w:rPr>
          <w:rFonts w:hint="eastAsia" w:ascii="等线" w:hAnsi="等线" w:eastAsia="等线" w:cstheme="minorHAnsi"/>
          <w:b w:val="0"/>
          <w:bCs w:val="0"/>
          <w:sz w:val="24"/>
          <w:szCs w:val="24"/>
          <w:lang w:val="en-US" w:eastAsia="zh-CN"/>
        </w:rPr>
        <w:t>以外的IBA讲师，必须符合以下的条件任一</w:t>
      </w:r>
      <w:r>
        <w:rPr>
          <w:rFonts w:hint="eastAsia" w:ascii="等线" w:hAnsi="等线" w:eastAsia="等线" w:cstheme="minorHAnsi"/>
          <w:b/>
          <w:bCs/>
          <w:color w:val="0070C0"/>
          <w:sz w:val="24"/>
          <w:szCs w:val="24"/>
          <w:lang w:val="en-US" w:eastAsia="zh-CN"/>
        </w:rPr>
        <w:t>（蓝色字为资质代码）</w:t>
      </w:r>
    </w:p>
    <w:p w14:paraId="0388279A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持有IBA证照，并有良好信誉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。</w:t>
      </w:r>
      <w:r>
        <w:rPr>
          <w:rFonts w:hint="eastAsia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  <w:t>（IBA）</w:t>
      </w:r>
    </w:p>
    <w:p w14:paraId="41B2C9C6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其他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u w:val="single"/>
          <w:lang w:val="en-US" w:eastAsia="zh-CN"/>
        </w:rPr>
        <w:t>国际</w:t>
      </w:r>
      <w:r>
        <w:rPr>
          <w:rFonts w:hint="default" w:ascii="等线" w:hAnsi="等线" w:eastAsia="等线" w:cstheme="minorHAnsi"/>
          <w:b w:val="0"/>
          <w:bCs w:val="0"/>
          <w:sz w:val="22"/>
          <w:szCs w:val="22"/>
          <w:u w:val="single"/>
          <w:lang w:val="en-US" w:eastAsia="zh-CN"/>
        </w:rPr>
        <w:t>认证机构</w:t>
      </w: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的行为分析师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（BCBA-D，BCBA等）</w:t>
      </w: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，并有良好信誉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。</w:t>
      </w:r>
      <w:r>
        <w:rPr>
          <w:rFonts w:hint="eastAsia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  <w:t>（BCBA）</w:t>
      </w:r>
    </w:p>
    <w:p w14:paraId="5F596366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在ABAI认证的课程中取得硕士或博士学位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。</w:t>
      </w:r>
      <w:r>
        <w:rPr>
          <w:rFonts w:hint="eastAsia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  <w:t>（ABAI）</w:t>
      </w:r>
    </w:p>
    <w:p w14:paraId="364E249F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取得相关领域的博士学位，并且成功完成IBAO为IBA课程设计要求的REO或等同的目标学习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。</w:t>
      </w:r>
      <w:r>
        <w:rPr>
          <w:rFonts w:hint="eastAsia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  <w:t>（PHD）</w:t>
      </w:r>
    </w:p>
    <w:p w14:paraId="6EE170CB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取得硕博士学位，并且成功完成REO或等同的目标学习，而且有三年或以上提供直接服务以外的资历（例如研究或出版）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。</w:t>
      </w:r>
      <w:r>
        <w:rPr>
          <w:rFonts w:hint="eastAsia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  <w:t>（ACAD）</w:t>
      </w:r>
    </w:p>
    <w:p w14:paraId="5ABF1A92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</w:pP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取得硕博士学位，并且成功完成REO或等同的目标学习，有三年或以上在ABA领域就职并有督导经验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。</w:t>
      </w:r>
      <w:r>
        <w:rPr>
          <w:rFonts w:hint="eastAsia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  <w:t>（EXP）</w:t>
      </w:r>
    </w:p>
    <w:p w14:paraId="5EE76D7F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如果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仅</w:t>
      </w: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是教授IBT的课程，可以允许讲师仅拥有BCaBA的证照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。</w:t>
      </w:r>
      <w:r>
        <w:rPr>
          <w:rFonts w:hint="default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  <w:t>（BCaBA）</w:t>
      </w:r>
    </w:p>
    <w:p w14:paraId="36917984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如果仅是教授IBT的课程，同时满足以下条件也可成为讲师：</w:t>
      </w:r>
    </w:p>
    <w:p w14:paraId="4BB2CA93">
      <w:pPr>
        <w:widowControl w:val="0"/>
        <w:numPr>
          <w:ilvl w:val="1"/>
          <w:numId w:val="5"/>
        </w:numPr>
        <w:spacing w:line="360" w:lineRule="auto"/>
        <w:ind w:left="126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大专学历</w:t>
      </w:r>
    </w:p>
    <w:p w14:paraId="29134BD9">
      <w:pPr>
        <w:widowControl w:val="0"/>
        <w:numPr>
          <w:ilvl w:val="1"/>
          <w:numId w:val="5"/>
        </w:numPr>
        <w:spacing w:line="360" w:lineRule="auto"/>
        <w:ind w:left="126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eastAsia="等线" w:asciiTheme="minorEastAsia" w:hAnsiTheme="minorEastAsia"/>
          <w:lang w:eastAsia="zh-CN"/>
        </w:rPr>
        <w:t>至少一年以上相关经验</w:t>
      </w:r>
      <w:r>
        <w:rPr>
          <w:rFonts w:eastAsia="等线" w:asciiTheme="minorEastAsia" w:hAnsiTheme="minorEastAsia"/>
          <w:lang w:eastAsia="zh-CN"/>
        </w:rPr>
        <w:t xml:space="preserve"> (</w:t>
      </w:r>
      <w:r>
        <w:rPr>
          <w:rFonts w:hint="eastAsia" w:eastAsia="等线" w:asciiTheme="minorEastAsia" w:hAnsiTheme="minorEastAsia"/>
          <w:lang w:eastAsia="zh-CN"/>
        </w:rPr>
        <w:t>例如</w:t>
      </w:r>
      <w:r>
        <w:rPr>
          <w:rFonts w:eastAsia="等线" w:asciiTheme="minorEastAsia" w:hAnsiTheme="minorEastAsia"/>
          <w:lang w:eastAsia="zh-CN"/>
        </w:rPr>
        <w:t xml:space="preserve">: </w:t>
      </w:r>
      <w:r>
        <w:rPr>
          <w:rFonts w:hint="eastAsia" w:eastAsia="等线" w:asciiTheme="minorEastAsia" w:hAnsiTheme="minorEastAsia"/>
          <w:lang w:eastAsia="zh-CN"/>
        </w:rPr>
        <w:t>特殊教育、心理学、应用行为分析、医疗</w:t>
      </w:r>
      <w:r>
        <w:rPr>
          <w:rFonts w:eastAsia="等线" w:asciiTheme="minorEastAsia" w:hAnsiTheme="minorEastAsia"/>
          <w:lang w:eastAsia="zh-CN"/>
        </w:rPr>
        <w:t>)</w:t>
      </w:r>
      <w:r>
        <w:rPr>
          <w:rFonts w:hint="eastAsia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  <w:t>（IBTE）</w:t>
      </w:r>
    </w:p>
    <w:p w14:paraId="2C5B50E3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  <w:t>请将讲师的名单，做成表格，必须要件包括：</w:t>
      </w:r>
    </w:p>
    <w:p w14:paraId="6DADFA7F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  <w:t>（1）讲师姓名，（2）资质代码，（3）相关教授的课程，以及（4）该资质要求的具体证明文件（例如，但不限于，IBA证照、BCBA证照、学位或毕业证、REO完成证明等）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（附件A-2）</w:t>
      </w:r>
    </w:p>
    <w:p w14:paraId="546BD63B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如果在执业过程中有增减讲师，须将更新后的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完整名单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提交给审核单位，但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无需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重填本申请书。</w:t>
      </w:r>
    </w:p>
    <w:p w14:paraId="67542174"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课程相关资讯：</w:t>
      </w:r>
    </w:p>
    <w:p w14:paraId="45CA69F9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  <w:t>请将准备要开立的课程与课堂，做成表格，必须要件包括：(1)课堂名称及基本叙述，（2）课堂对照的REO教育目标，（3）线上、线下、还是都有，（4）讲师的姓名，（5）课堂的长度（小时），以及（6）课堂是否有作为其他认证体系的课堂使用。本课单做成附件随本申请书一起缴交。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（附件A-3, T-3）</w:t>
      </w:r>
    </w:p>
    <w:p w14:paraId="6A569EAD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等线" w:hAnsi="等线" w:eastAsia="等线" w:cstheme="minorHAnsi"/>
          <w:b/>
          <w:bCs/>
          <w:color w:val="auto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color w:val="auto"/>
          <w:sz w:val="22"/>
          <w:szCs w:val="22"/>
          <w:lang w:val="en-US" w:eastAsia="zh-CN"/>
        </w:rPr>
        <w:t>另外，授课方必须缴交一份REO及RPO（附注）涵盖文件，包括所有的REO、RPO教育目标以及对应的课堂。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（附件A-4, T-4）</w:t>
      </w:r>
    </w:p>
    <w:p w14:paraId="2B341D06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如果在执业过程中有增减课程，须将更新后的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完整课单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提交给审核单位，但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无需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重填本申请书。</w:t>
      </w:r>
    </w:p>
    <w:p w14:paraId="10566574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  <w:t>请注意：每个课堂都要另外附上课堂大纲，范例请参考文件ACP-006。</w:t>
      </w:r>
    </w:p>
    <w:p w14:paraId="2492740C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等线" w:hAnsi="等线" w:eastAsia="宋体" w:cstheme="minorHAnsi"/>
          <w:b w:val="0"/>
          <w:bCs w:val="0"/>
          <w:color w:val="0000FF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color w:val="0000FF"/>
          <w:sz w:val="22"/>
          <w:szCs w:val="22"/>
          <w:lang w:val="en-US" w:eastAsia="zh-CN"/>
        </w:rPr>
        <w:t xml:space="preserve">（附注）RPO = Required Peixun Objectives </w:t>
      </w:r>
      <w:r>
        <w:rPr>
          <w:rFonts w:hint="eastAsia" w:ascii="等线" w:hAnsi="等线" w:cstheme="minorHAnsi"/>
          <w:b w:val="0"/>
          <w:bCs w:val="0"/>
          <w:color w:val="0000FF"/>
          <w:sz w:val="22"/>
          <w:szCs w:val="22"/>
          <w:lang w:val="en-US" w:eastAsia="zh-CN"/>
        </w:rPr>
        <w:t>是中文IBAO使用的专用名词，表示IBT培训教育目标。</w:t>
      </w:r>
    </w:p>
    <w:p w14:paraId="0D189C9D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</w:p>
    <w:p w14:paraId="152803FC"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缴费：</w:t>
      </w:r>
    </w:p>
    <w:p w14:paraId="1A105A14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初次申请人请到 ibao.ibao-aba.cn 申请账号，并且选择【新角色申请】--》【授课方ACP】，缴交1000元人民币的申请费（一次性，不退费），将缴费截图一并提交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（附件A-5截图）。</w:t>
      </w:r>
    </w:p>
    <w:p w14:paraId="56628773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color w:val="auto"/>
          <w:sz w:val="22"/>
          <w:szCs w:val="22"/>
          <w:lang w:val="en-US" w:eastAsia="zh-CN"/>
        </w:rPr>
        <w:t>审核通过后，会通知课程提供方另外缴纳2年年费。年费设在每2年4000人民币。同时申请IBA与IBT的授课方，2年年费是5000人民币。</w:t>
      </w:r>
    </w:p>
    <w:p w14:paraId="446D4FF5">
      <w:pPr>
        <w:widowControl w:val="0"/>
        <w:numPr>
          <w:ilvl w:val="1"/>
          <w:numId w:val="5"/>
        </w:numPr>
        <w:spacing w:line="360" w:lineRule="auto"/>
        <w:ind w:left="126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color w:val="auto"/>
          <w:sz w:val="22"/>
          <w:szCs w:val="22"/>
          <w:lang w:val="en-US" w:eastAsia="zh-CN"/>
        </w:rPr>
        <w:t>价格的部分请参考文件ACP-003</w:t>
      </w:r>
      <w:bookmarkStart w:id="0" w:name="_GoBack"/>
      <w:bookmarkEnd w:id="0"/>
    </w:p>
    <w:p w14:paraId="060310B7">
      <w:pPr>
        <w:widowControl w:val="0"/>
        <w:numPr>
          <w:ilvl w:val="1"/>
          <w:numId w:val="5"/>
        </w:numPr>
        <w:spacing w:line="360" w:lineRule="auto"/>
        <w:ind w:left="126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color w:val="FF000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color w:val="FF0000"/>
          <w:sz w:val="22"/>
          <w:szCs w:val="22"/>
          <w:lang w:val="en-US" w:eastAsia="zh-CN"/>
        </w:rPr>
        <w:t>尚未成为IBT授课方的，原来已获得授权的IBA授课方可以补交1000元金额，如果讲师无改变则无需另外审核；但是必须提交附件T-3, T-4及其相对应的课程大纲。</w:t>
      </w:r>
    </w:p>
    <w:p w14:paraId="7619232E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color w:val="auto"/>
          <w:sz w:val="22"/>
          <w:szCs w:val="22"/>
          <w:lang w:val="en-US" w:eastAsia="zh-CN"/>
        </w:rPr>
        <w:t>缴纳完成年费后，会发给课程提供方正式的委托书、以及使用的证号。</w:t>
      </w:r>
    </w:p>
    <w:p w14:paraId="59E63CA9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color w:val="auto"/>
          <w:sz w:val="22"/>
          <w:szCs w:val="22"/>
          <w:lang w:val="en-US" w:eastAsia="zh-CN"/>
        </w:rPr>
        <w:t>年费两年缴交一次。续费时可享有九折的优惠。</w:t>
      </w:r>
    </w:p>
    <w:p w14:paraId="11F15E5D"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ACP授课方申请的切结：</w:t>
      </w:r>
    </w:p>
    <w:p w14:paraId="21B968ED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呈交本申请书，即表示机构单位或个人，愿意遵守以下规定，并由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u w:val="single"/>
          <w:lang w:val="en-US" w:eastAsia="zh-CN"/>
        </w:rPr>
        <w:t>申请负责人代表切结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，如有违反或未尽职责，IBAO或其代理人有权撤销ACP资格。</w:t>
      </w:r>
    </w:p>
    <w:p w14:paraId="7A754835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确保课程内容与安排符合IBAO规定。</w:t>
      </w:r>
    </w:p>
    <w:p w14:paraId="00600441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确保所有讲师具备相对应的讲师资格。</w:t>
      </w:r>
    </w:p>
    <w:p w14:paraId="17796B4C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确保提供的课程与形式符合申请时提交的信息。</w:t>
      </w:r>
    </w:p>
    <w:p w14:paraId="12843C3F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如核准之ACP做出任何相关的改动，包含但不限于对于授课形式的变更或提供课题的变换，必须立刻联系IBAO代理提出改动申请。所有提出的变动均应符合IBAO的规定，方可持续取得ACP资质。</w:t>
      </w:r>
    </w:p>
    <w:p w14:paraId="7E8FF3C5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提供与学时相对应的ACP教学，IBA总共至少270小时，IBT总共至少40小时。</w:t>
      </w:r>
    </w:p>
    <w:p w14:paraId="67B9DDB2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授课方应于开课前，提供【完整、清晰、精确】的课程与课堂资料给学员。</w:t>
      </w:r>
    </w:p>
    <w:p w14:paraId="2C74DFB2">
      <w:pPr>
        <w:widowControl w:val="0"/>
        <w:numPr>
          <w:ilvl w:val="1"/>
          <w:numId w:val="5"/>
        </w:numPr>
        <w:spacing w:line="360" w:lineRule="auto"/>
        <w:ind w:left="126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授课方必须开课前取得完整课程总纲的审核通过，而不是一个个的单一课堂。</w:t>
      </w:r>
    </w:p>
    <w:p w14:paraId="11BBDCAB">
      <w:pPr>
        <w:widowControl w:val="0"/>
        <w:numPr>
          <w:ilvl w:val="1"/>
          <w:numId w:val="5"/>
        </w:numPr>
        <w:spacing w:line="360" w:lineRule="auto"/>
        <w:ind w:left="126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如果完整课程体系中有单一课堂变化，也需要重新将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整个课程总纲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提交审查（但是没有改变的单一课堂可以不用另外提交）。</w:t>
      </w:r>
    </w:p>
    <w:p w14:paraId="7387DBAE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课程提供方必须提供学员学习完成证书或者进度凭证，证书内容包含但不限于: 学员的姓名、证照号或IBAO帐号、课程名称、授课日期与时间、授课方式、讲师姓名、课程提供方授权号及其负责人信息。</w:t>
      </w:r>
    </w:p>
    <w:p w14:paraId="2880FC0A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定期缴交ACP费用与相关文件。如逾期超过30日未续费，原ACP即刻停权，并需要重新缴费提交申请。</w:t>
      </w:r>
    </w:p>
    <w:p w14:paraId="7751C6AC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确保ACP的联系人信息正确。</w:t>
      </w:r>
    </w:p>
    <w:p w14:paraId="78A2550E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ACP负责人须确保将所有课程相关资料建档备查。备查资料包含但不限于: 课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堂名</w:t>
      </w: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称、授课方式、课程类别、授课日期与时间、讲师姓名、课程对象 (IBA持证者、IBT持证者、IBA学员、IBT学员)、课程目标、课程招生广告文案、完成学员名单。</w:t>
      </w:r>
    </w:p>
    <w:p w14:paraId="2083F694">
      <w:pPr>
        <w:widowControl w:val="0"/>
        <w:numPr>
          <w:ilvl w:val="1"/>
          <w:numId w:val="5"/>
        </w:numPr>
        <w:spacing w:line="360" w:lineRule="auto"/>
        <w:ind w:left="126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ACP应于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每期上课开始前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，将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确认报名的名单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交给飞拉蝶飞总代理。</w:t>
      </w:r>
    </w:p>
    <w:p w14:paraId="46B7C93E">
      <w:pPr>
        <w:widowControl w:val="0"/>
        <w:numPr>
          <w:ilvl w:val="1"/>
          <w:numId w:val="5"/>
        </w:numPr>
        <w:spacing w:line="360" w:lineRule="auto"/>
        <w:ind w:left="126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ACP应确保每个上课的IBA或IBT学员必须在开课时完成官网报名，确认学员资格。</w:t>
      </w:r>
    </w:p>
    <w:p w14:paraId="32026CBA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当IBAO及其代理抽查课程时，必须提供所有相关的文件与资料。</w:t>
      </w:r>
    </w:p>
    <w:p w14:paraId="3A626D59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机构、负责人、讲师的行为须符合IBAO伦理准则规定（2024中文版）。</w:t>
      </w:r>
    </w:p>
    <w:p w14:paraId="20D1AA8F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ACP须随时注意总部的讯息、尤其是政策改变的说明；并主动配合参加总部举行的免费的ACP说明会或ACP讲座。</w:t>
      </w:r>
    </w:p>
    <w:p w14:paraId="0FA80C18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遇到曾经在别的培训体系上课过（完成或未完成），希望在IBA/IBT体系考证的学员，ACP负责审核他们过去的学习，决定多少学分可以转移到IBA来，需要补足多少学分。具体的移转规定，IBAO与飞拉蝶飞将会有正式的文件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ACP-005【中文IBAO接受其他认证体系培训学分与督导时数指导原则】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。</w:t>
      </w:r>
    </w:p>
    <w:p w14:paraId="2032420A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CEU负责人必须熟悉ACP的规定，包括但不限于ACP 001~006的文件。</w:t>
      </w:r>
    </w:p>
    <w:p w14:paraId="307C4F08">
      <w:pPr>
        <w:widowControl w:val="0"/>
        <w:numPr>
          <w:ilvl w:val="0"/>
          <w:numId w:val="0"/>
        </w:numPr>
        <w:tabs>
          <w:tab w:val="left" w:pos="420"/>
        </w:tabs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切结人：（打字代替签名）</w:t>
      </w:r>
    </w:p>
    <w:p w14:paraId="6B7FC0C7">
      <w:pPr>
        <w:widowControl w:val="0"/>
        <w:numPr>
          <w:ilvl w:val="0"/>
          <w:numId w:val="0"/>
        </w:numPr>
        <w:tabs>
          <w:tab w:val="left" w:pos="420"/>
        </w:tabs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日期：</w:t>
      </w:r>
    </w:p>
    <w:p w14:paraId="0CFE5306">
      <w:pPr>
        <w:widowControl w:val="0"/>
        <w:numPr>
          <w:ilvl w:val="0"/>
          <w:numId w:val="0"/>
        </w:numPr>
        <w:pBdr>
          <w:bottom w:val="dotted" w:color="auto" w:sz="24" w:space="0"/>
        </w:pBdr>
        <w:tabs>
          <w:tab w:val="left" w:pos="420"/>
        </w:tabs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</w:p>
    <w:p w14:paraId="76F02B7E">
      <w:pPr>
        <w:widowControl w:val="0"/>
        <w:numPr>
          <w:ilvl w:val="0"/>
          <w:numId w:val="0"/>
        </w:numPr>
        <w:tabs>
          <w:tab w:val="left" w:pos="420"/>
        </w:tabs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</w:p>
    <w:p w14:paraId="27B7A67D">
      <w:pPr>
        <w:widowControl w:val="0"/>
        <w:numPr>
          <w:ilvl w:val="0"/>
          <w:numId w:val="0"/>
        </w:numPr>
        <w:tabs>
          <w:tab w:val="left" w:pos="420"/>
        </w:tabs>
        <w:spacing w:line="360" w:lineRule="auto"/>
        <w:jc w:val="both"/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</w:pPr>
    </w:p>
    <w:p w14:paraId="385AB179">
      <w:pPr>
        <w:widowControl w:val="0"/>
        <w:numPr>
          <w:ilvl w:val="0"/>
          <w:numId w:val="0"/>
        </w:numPr>
        <w:tabs>
          <w:tab w:val="left" w:pos="420"/>
        </w:tabs>
        <w:spacing w:line="360" w:lineRule="auto"/>
        <w:jc w:val="both"/>
        <w:rPr>
          <w:rFonts w:hint="default" w:ascii="等线" w:hAnsi="等线" w:eastAsia="等线" w:cstheme="minorHAnsi"/>
          <w:b/>
          <w:bCs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  <w:t>附带说明：</w:t>
      </w:r>
    </w:p>
    <w:p w14:paraId="4DC3E048">
      <w:pPr>
        <w:widowControl w:val="0"/>
        <w:numPr>
          <w:ilvl w:val="0"/>
          <w:numId w:val="6"/>
        </w:numPr>
        <w:tabs>
          <w:tab w:val="left" w:pos="420"/>
        </w:tabs>
        <w:spacing w:line="360" w:lineRule="auto"/>
        <w:ind w:left="425" w:leftChars="0" w:hanging="425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IBAO及其代理人会在30天内完成初次申请审核，10个工作日内完成重新提交内容之审核。通常流程会比这个快一点。</w:t>
      </w:r>
    </w:p>
    <w:p w14:paraId="7D0E03FC">
      <w:pPr>
        <w:widowControl w:val="0"/>
        <w:numPr>
          <w:ilvl w:val="0"/>
          <w:numId w:val="6"/>
        </w:numPr>
        <w:tabs>
          <w:tab w:val="left" w:pos="420"/>
        </w:tabs>
        <w:spacing w:line="360" w:lineRule="auto"/>
        <w:ind w:left="425" w:leftChars="0" w:hanging="425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除了上述无需重新提交申请表的项目外，如授课方决定更改名称、负责人、基本服务对象或形式、或者其他大幅度的更动，必须重新提交本申请书。</w:t>
      </w:r>
    </w:p>
    <w:p w14:paraId="3069E0DA">
      <w:pPr>
        <w:widowControl w:val="0"/>
        <w:numPr>
          <w:ilvl w:val="0"/>
          <w:numId w:val="6"/>
        </w:numPr>
        <w:tabs>
          <w:tab w:val="left" w:pos="420"/>
        </w:tabs>
        <w:spacing w:line="360" w:lineRule="auto"/>
        <w:ind w:left="425" w:leftChars="0" w:hanging="425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本授权是跟着【申请主体】的。</w:t>
      </w:r>
    </w:p>
    <w:p w14:paraId="0C21F881">
      <w:pPr>
        <w:widowControl w:val="0"/>
        <w:numPr>
          <w:ilvl w:val="1"/>
          <w:numId w:val="6"/>
        </w:numPr>
        <w:tabs>
          <w:tab w:val="left" w:pos="420"/>
          <w:tab w:val="clear" w:pos="840"/>
        </w:tabs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如果主体是个人，则授权跟着个人走，即使个人离职到新机构上班，我们也是跟着个人行动。</w:t>
      </w:r>
    </w:p>
    <w:p w14:paraId="3CD800FE">
      <w:pPr>
        <w:widowControl w:val="0"/>
        <w:numPr>
          <w:ilvl w:val="1"/>
          <w:numId w:val="6"/>
        </w:numPr>
        <w:tabs>
          <w:tab w:val="left" w:pos="420"/>
          <w:tab w:val="clear" w:pos="840"/>
        </w:tabs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如果主体是机构或商号，如果负责人换人，机构必须在30天内提交替换的人选进行审核，无需另外缴费；但是离开的原来负责人需要重新缴费申请才能继续担任ACP提供方。</w:t>
      </w:r>
    </w:p>
    <w:p w14:paraId="47AEA035">
      <w:pPr>
        <w:widowControl w:val="0"/>
        <w:numPr>
          <w:ilvl w:val="0"/>
          <w:numId w:val="6"/>
        </w:numPr>
        <w:tabs>
          <w:tab w:val="left" w:pos="420"/>
        </w:tabs>
        <w:spacing w:line="360" w:lineRule="auto"/>
        <w:ind w:left="425" w:leftChars="0" w:hanging="425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本申请核准后2年内有效，两年到期必须重新续费，续费须在授权到期前30日完成，否则需要重新申请并缴交一次性审核费用。</w:t>
      </w:r>
    </w:p>
    <w:p w14:paraId="7AEA427B">
      <w:pPr>
        <w:widowControl w:val="0"/>
        <w:numPr>
          <w:ilvl w:val="0"/>
          <w:numId w:val="6"/>
        </w:numPr>
        <w:tabs>
          <w:tab w:val="left" w:pos="420"/>
        </w:tabs>
        <w:spacing w:line="360" w:lineRule="auto"/>
        <w:ind w:left="425" w:leftChars="0" w:hanging="425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续费时如果没有更动原来的内容，可以不必重新提交本申请书。</w:t>
      </w:r>
    </w:p>
    <w:p w14:paraId="4AB03F44">
      <w:pPr>
        <w:widowControl w:val="0"/>
        <w:numPr>
          <w:ilvl w:val="0"/>
          <w:numId w:val="6"/>
        </w:numPr>
        <w:tabs>
          <w:tab w:val="left" w:pos="420"/>
        </w:tabs>
        <w:spacing w:line="360" w:lineRule="auto"/>
        <w:ind w:left="425" w:leftChars="0" w:hanging="425" w:firstLineChars="0"/>
        <w:jc w:val="both"/>
        <w:rPr>
          <w:sz w:val="22"/>
          <w:szCs w:val="22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总部如有改变政策、切结内容，会通知ACP课程提供方，发给新的切结内容，重新切结即可。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0F5B6"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271135" cy="546100"/>
          <wp:effectExtent l="0" t="0" r="1905" b="0"/>
          <wp:docPr id="1" name="图片 5" descr="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5" descr="0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37377"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269230" cy="576580"/>
          <wp:effectExtent l="0" t="0" r="0" b="0"/>
          <wp:docPr id="2" name="图片 7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7" descr="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CE8A8C"/>
    <w:multiLevelType w:val="multilevel"/>
    <w:tmpl w:val="A0CE8A8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  <w:color w:val="auto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68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10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52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94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336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78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4200" w:leftChars="0" w:hanging="420" w:firstLineChars="0"/>
      </w:pPr>
      <w:rPr>
        <w:rFonts w:hint="default" w:ascii="Wingdings" w:hAnsi="Wingdings"/>
      </w:rPr>
    </w:lvl>
  </w:abstractNum>
  <w:abstractNum w:abstractNumId="1">
    <w:nsid w:val="B3BEC500"/>
    <w:multiLevelType w:val="singleLevel"/>
    <w:tmpl w:val="B3BEC500"/>
    <w:lvl w:ilvl="0" w:tentative="0">
      <w:start w:val="1"/>
      <w:numFmt w:val="decimal"/>
      <w:suff w:val="space"/>
      <w:lvlText w:val="%1."/>
      <w:lvlJc w:val="left"/>
      <w:pPr>
        <w:tabs>
          <w:tab w:val="left" w:pos="0"/>
        </w:tabs>
      </w:pPr>
      <w:rPr>
        <w:rFonts w:hint="default"/>
        <w:sz w:val="24"/>
        <w:szCs w:val="24"/>
      </w:rPr>
    </w:lvl>
  </w:abstractNum>
  <w:abstractNum w:abstractNumId="2">
    <w:nsid w:val="FA35C36C"/>
    <w:multiLevelType w:val="singleLevel"/>
    <w:tmpl w:val="FA35C36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02FFDAA0"/>
    <w:multiLevelType w:val="singleLevel"/>
    <w:tmpl w:val="02FFDAA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35677EE6"/>
    <w:multiLevelType w:val="multilevel"/>
    <w:tmpl w:val="35677EE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5">
    <w:nsid w:val="53F8D349"/>
    <w:multiLevelType w:val="multilevel"/>
    <w:tmpl w:val="53F8D349"/>
    <w:lvl w:ilvl="0" w:tentative="0">
      <w:start w:val="1"/>
      <w:numFmt w:val="lowerLetter"/>
      <w:suff w:val="space"/>
      <w:lvlText w:val="(%1)"/>
      <w:lvlJc w:val="left"/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5YmY3NDZlY2JjNDFiYmYzNmRhZjQ4YzI3MzRlYjIifQ=="/>
  </w:docVars>
  <w:rsids>
    <w:rsidRoot w:val="046D3B95"/>
    <w:rsid w:val="046D3B95"/>
    <w:rsid w:val="098D65C1"/>
    <w:rsid w:val="0FCD4A15"/>
    <w:rsid w:val="14AD4611"/>
    <w:rsid w:val="166F135A"/>
    <w:rsid w:val="18A24ECE"/>
    <w:rsid w:val="1E8E2DB0"/>
    <w:rsid w:val="1F807DBA"/>
    <w:rsid w:val="35515208"/>
    <w:rsid w:val="3A824200"/>
    <w:rsid w:val="3B6B3F4A"/>
    <w:rsid w:val="487A1A11"/>
    <w:rsid w:val="4AEB0E78"/>
    <w:rsid w:val="50BF0B5C"/>
    <w:rsid w:val="53AE06E6"/>
    <w:rsid w:val="53D004E8"/>
    <w:rsid w:val="5A7F67C4"/>
    <w:rsid w:val="65C15EE3"/>
    <w:rsid w:val="69413442"/>
    <w:rsid w:val="6AAD0661"/>
    <w:rsid w:val="6F0A0B37"/>
    <w:rsid w:val="7A5742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1"/>
    <w:pPr>
      <w:ind w:left="48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enhs\AppData\Roaming\kingsoft\office6\templates\docerresourceshop\ugc\template\297320830673\6ab35433d6464dfcee62b07d015972715c60d588\&#39134;&#25289;&#34678;&#39134;word&#35268;&#33539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飞拉蝶飞word规范.doc</Template>
  <Pages>5</Pages>
  <Words>2790</Words>
  <Characters>3078</Characters>
  <Lines>0</Lines>
  <Paragraphs>0</Paragraphs>
  <TotalTime>0</TotalTime>
  <ScaleCrop>false</ScaleCrop>
  <LinksUpToDate>false</LinksUpToDate>
  <CharactersWithSpaces>3090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2024-09-03T01:07:00Z</dcterms:created>
  <dc:creator>谢文政</dc:creator>
  <cp:lastModifiedBy>谢文政</cp:lastModifiedBy>
  <dcterms:modified xsi:type="dcterms:W3CDTF">2024-09-29T16:57:42Z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8962743A450045598EADCA37DCD84EBA_13</vt:lpwstr>
  </property>
</Properties>
</file>